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C" w:rsidRPr="002D711C" w:rsidRDefault="002D711C" w:rsidP="002D711C">
      <w:pPr>
        <w:spacing w:before="180" w:line="400" w:lineRule="exact"/>
        <w:jc w:val="both"/>
        <w:rPr>
          <w:rFonts w:eastAsia="標楷體"/>
          <w:b/>
          <w:sz w:val="40"/>
          <w:szCs w:val="40"/>
          <w:shd w:val="pct15" w:color="auto" w:fill="FFFFFF"/>
        </w:rPr>
      </w:pPr>
      <w:r w:rsidRPr="002D711C">
        <w:rPr>
          <w:rFonts w:eastAsia="標楷體" w:hAnsi="標楷體"/>
          <w:b/>
          <w:sz w:val="40"/>
          <w:szCs w:val="40"/>
          <w:shd w:val="pct15" w:color="auto" w:fill="FFFFFF"/>
        </w:rPr>
        <w:t>責任通報：</w:t>
      </w:r>
    </w:p>
    <w:p w:rsidR="002D711C" w:rsidRPr="002D711C" w:rsidRDefault="002D711C" w:rsidP="002D711C">
      <w:pPr>
        <w:spacing w:before="180" w:line="400" w:lineRule="exact"/>
        <w:ind w:firstLineChars="200" w:firstLine="640"/>
        <w:jc w:val="both"/>
        <w:rPr>
          <w:rFonts w:eastAsia="標楷體"/>
          <w:sz w:val="32"/>
          <w:szCs w:val="32"/>
        </w:rPr>
      </w:pPr>
      <w:r w:rsidRPr="002D711C">
        <w:rPr>
          <w:rFonts w:eastAsia="標楷體" w:hAnsi="標楷體"/>
          <w:sz w:val="32"/>
          <w:szCs w:val="32"/>
        </w:rPr>
        <w:t>教師知悉學生疑有發生「兒少保」、「高風險家庭」、「家暴案件」、「性騷」或「性侵案件」等情況，皆屬「責任通報案件」，學校進行通報轉介評估，須於</w:t>
      </w:r>
      <w:r w:rsidRPr="002D711C">
        <w:rPr>
          <w:rFonts w:eastAsia="標楷體"/>
          <w:sz w:val="32"/>
          <w:szCs w:val="32"/>
        </w:rPr>
        <w:t>24</w:t>
      </w:r>
      <w:r w:rsidRPr="002D711C">
        <w:rPr>
          <w:rFonts w:eastAsia="標楷體" w:hAnsi="標楷體"/>
          <w:sz w:val="32"/>
          <w:szCs w:val="32"/>
        </w:rPr>
        <w:t>小時內填具通報表或進行網路通報。</w:t>
      </w:r>
    </w:p>
    <w:p w:rsidR="002D711C" w:rsidRPr="002D711C" w:rsidRDefault="002D711C" w:rsidP="002D711C">
      <w:pPr>
        <w:numPr>
          <w:ilvl w:val="0"/>
          <w:numId w:val="1"/>
        </w:numPr>
        <w:spacing w:beforeLines="0" w:line="400" w:lineRule="exact"/>
        <w:jc w:val="both"/>
        <w:rPr>
          <w:rFonts w:eastAsia="標楷體"/>
          <w:b/>
          <w:sz w:val="32"/>
          <w:szCs w:val="32"/>
          <w:bdr w:val="single" w:sz="4" w:space="0" w:color="auto"/>
        </w:rPr>
      </w:pPr>
      <w:r w:rsidRPr="002D711C">
        <w:rPr>
          <w:rFonts w:eastAsia="標楷體" w:hAnsi="標楷體"/>
          <w:b/>
          <w:sz w:val="32"/>
          <w:szCs w:val="32"/>
          <w:bdr w:val="single" w:sz="4" w:space="0" w:color="auto"/>
        </w:rPr>
        <w:t>「關懷</w:t>
      </w:r>
      <w:r w:rsidRPr="002D711C">
        <w:rPr>
          <w:rFonts w:eastAsia="標楷體"/>
          <w:b/>
          <w:sz w:val="32"/>
          <w:szCs w:val="32"/>
          <w:bdr w:val="single" w:sz="4" w:space="0" w:color="auto"/>
        </w:rPr>
        <w:t>e</w:t>
      </w:r>
      <w:r w:rsidRPr="002D711C">
        <w:rPr>
          <w:rFonts w:eastAsia="標楷體" w:hAnsi="標楷體"/>
          <w:b/>
          <w:sz w:val="32"/>
          <w:szCs w:val="32"/>
          <w:bdr w:val="single" w:sz="4" w:space="0" w:color="auto"/>
        </w:rPr>
        <w:t>起來」通報網址：</w:t>
      </w:r>
      <w:r w:rsidRPr="002D711C">
        <w:rPr>
          <w:rFonts w:eastAsia="標楷體"/>
          <w:b/>
          <w:sz w:val="32"/>
          <w:szCs w:val="32"/>
          <w:bdr w:val="single" w:sz="4" w:space="0" w:color="auto"/>
        </w:rPr>
        <w:t>https://ecare.mohw.gov.tw/</w:t>
      </w:r>
    </w:p>
    <w:p w:rsidR="002D711C" w:rsidRPr="002D711C" w:rsidRDefault="002D711C" w:rsidP="002D711C">
      <w:pPr>
        <w:numPr>
          <w:ilvl w:val="0"/>
          <w:numId w:val="1"/>
        </w:numPr>
        <w:spacing w:beforeLines="0" w:line="400" w:lineRule="exact"/>
        <w:jc w:val="both"/>
        <w:rPr>
          <w:rFonts w:eastAsia="標楷體"/>
          <w:sz w:val="32"/>
          <w:szCs w:val="32"/>
        </w:rPr>
      </w:pPr>
      <w:r w:rsidRPr="002D711C">
        <w:rPr>
          <w:rFonts w:eastAsia="標楷體"/>
          <w:sz w:val="32"/>
          <w:szCs w:val="32"/>
        </w:rPr>
        <w:t xml:space="preserve"> </w:t>
      </w:r>
      <w:r w:rsidRPr="002D711C">
        <w:rPr>
          <w:rFonts w:eastAsia="標楷體" w:hAnsi="標楷體"/>
          <w:sz w:val="32"/>
          <w:szCs w:val="32"/>
        </w:rPr>
        <w:t>通報表可置網頁下載或至輔導室諮商組。</w:t>
      </w:r>
    </w:p>
    <w:p w:rsidR="002D711C" w:rsidRPr="002D711C" w:rsidRDefault="002D711C" w:rsidP="002D711C">
      <w:pPr>
        <w:numPr>
          <w:ilvl w:val="0"/>
          <w:numId w:val="1"/>
        </w:numPr>
        <w:spacing w:beforeLines="0" w:line="400" w:lineRule="exact"/>
        <w:jc w:val="both"/>
        <w:rPr>
          <w:rFonts w:eastAsia="標楷體"/>
          <w:b/>
          <w:sz w:val="32"/>
          <w:szCs w:val="32"/>
          <w:u w:val="single"/>
        </w:rPr>
      </w:pPr>
      <w:r w:rsidRPr="002D711C">
        <w:rPr>
          <w:rFonts w:eastAsia="標楷體"/>
          <w:sz w:val="32"/>
          <w:szCs w:val="32"/>
        </w:rPr>
        <w:t xml:space="preserve"> </w:t>
      </w:r>
      <w:r w:rsidRPr="002D711C">
        <w:rPr>
          <w:rFonts w:eastAsia="標楷體" w:hAnsi="標楷體"/>
          <w:b/>
          <w:sz w:val="32"/>
          <w:szCs w:val="32"/>
          <w:u w:val="single"/>
        </w:rPr>
        <w:t>網路通報完成後，請印出通報表與通報案件查詢碼，交至輔導室諮商組存檔，以便查詢案件的處理狀況。</w:t>
      </w:r>
    </w:p>
    <w:p w:rsidR="002D711C" w:rsidRDefault="002D711C" w:rsidP="002D711C">
      <w:pPr>
        <w:widowControl/>
        <w:spacing w:before="180"/>
        <w:rPr>
          <w:rFonts w:ascii="Tahoma" w:hAnsi="Tahoma" w:cs="Tahoma" w:hint="eastAsia"/>
          <w:color w:val="000000"/>
          <w:sz w:val="32"/>
          <w:szCs w:val="32"/>
          <w:shd w:val="clear" w:color="auto" w:fill="EEEEEE"/>
        </w:rPr>
      </w:pPr>
    </w:p>
    <w:p w:rsidR="003D1A4F" w:rsidRPr="002D711C" w:rsidRDefault="003D1A4F" w:rsidP="002D711C">
      <w:pPr>
        <w:widowControl/>
        <w:spacing w:before="180"/>
        <w:rPr>
          <w:rFonts w:ascii="Tahoma" w:hAnsi="Tahoma" w:cs="Tahoma"/>
          <w:b/>
          <w:color w:val="000000"/>
          <w:sz w:val="32"/>
          <w:szCs w:val="32"/>
          <w:shd w:val="clear" w:color="auto" w:fill="EEEEEE"/>
        </w:rPr>
      </w:pPr>
      <w:r w:rsidRPr="002D711C">
        <w:rPr>
          <w:rFonts w:ascii="Tahoma" w:hAnsi="Tahoma" w:cs="Tahoma" w:hint="eastAsia"/>
          <w:b/>
          <w:color w:val="000000"/>
          <w:sz w:val="32"/>
          <w:szCs w:val="32"/>
          <w:shd w:val="clear" w:color="auto" w:fill="EEEEEE"/>
        </w:rPr>
        <w:t>兒少保及高風險家庭評估項目</w:t>
      </w:r>
    </w:p>
    <w:p w:rsidR="00D93D85" w:rsidRPr="002D711C" w:rsidRDefault="00D93D85" w:rsidP="002D711C">
      <w:pPr>
        <w:snapToGrid w:val="0"/>
        <w:spacing w:beforeLines="0" w:line="440" w:lineRule="exact"/>
        <w:ind w:left="0" w:firstLine="0"/>
        <w:rPr>
          <w:rFonts w:ascii="Tahoma" w:hAnsi="Tahoma" w:cs="Tahoma"/>
          <w:b/>
          <w:color w:val="000000"/>
          <w:sz w:val="32"/>
          <w:szCs w:val="32"/>
          <w:shd w:val="clear" w:color="auto" w:fill="EEEEEE"/>
        </w:rPr>
      </w:pPr>
      <w:r w:rsidRPr="002D711C">
        <w:rPr>
          <w:rFonts w:ascii="Tahoma" w:hAnsi="Tahoma" w:cs="Tahoma" w:hint="eastAsia"/>
          <w:b/>
          <w:color w:val="000000"/>
          <w:sz w:val="32"/>
          <w:szCs w:val="32"/>
          <w:shd w:val="clear" w:color="auto" w:fill="EEEEEE"/>
        </w:rPr>
        <w:t>兒少保之情事：</w:t>
      </w:r>
    </w:p>
    <w:p w:rsidR="00D93D85" w:rsidRDefault="00D93D85" w:rsidP="002D711C">
      <w:pPr>
        <w:snapToGrid w:val="0"/>
        <w:spacing w:beforeLines="0" w:line="440" w:lineRule="exac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 w:hint="eastAsia"/>
          <w:color w:val="000000"/>
          <w:sz w:val="27"/>
          <w:szCs w:val="27"/>
          <w:shd w:val="clear" w:color="auto" w:fill="EEEEEE"/>
        </w:rPr>
        <w:t>一、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兒少有下列行為者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19.85pt;height:15.7pt" o:ole="">
            <v:imagedata r:id="rId7" o:title=""/>
          </v:shape>
          <w:control r:id="rId8" w:name="DefaultOcxName" w:shapeid="_x0000_i1080"/>
        </w:object>
      </w:r>
      <w:r>
        <w:t>兒少施用毒品、非法施用管制藥品或其他有害身心健康之物質。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083" type="#_x0000_t75" style="width:19.85pt;height:15.7pt" o:ole="">
            <v:imagedata r:id="rId7" o:title=""/>
          </v:shape>
          <w:control r:id="rId9" w:name="DefaultOcxName1" w:shapeid="_x0000_i1083"/>
        </w:object>
      </w:r>
      <w:r>
        <w:t>兒少充當酒家、特種咖啡茶室、限制級電子遊戲場及其他涉及賭博、色情、暴力等足以危害其身心健康場所之侍應。</w:t>
      </w:r>
    </w:p>
    <w:p w:rsidR="00D93D85" w:rsidRDefault="00D93D85" w:rsidP="002D711C">
      <w:pPr>
        <w:snapToGrid w:val="0"/>
        <w:spacing w:beforeLines="0" w:line="440" w:lineRule="exact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 w:hint="eastAsia"/>
          <w:color w:val="000000"/>
          <w:sz w:val="27"/>
          <w:szCs w:val="27"/>
          <w:shd w:val="clear" w:color="auto" w:fill="EEEEEE"/>
        </w:rPr>
        <w:t>二、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任何人對兒少有下列行為者：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086" type="#_x0000_t75" style="width:19.85pt;height:15.7pt" o:ole="">
            <v:imagedata r:id="rId7" o:title=""/>
          </v:shape>
          <w:control r:id="rId10" w:name="DefaultOcxName2" w:shapeid="_x0000_i1086"/>
        </w:object>
      </w:r>
      <w:r>
        <w:t>遺棄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089" type="#_x0000_t75" style="width:19.85pt;height:15.7pt" o:ole="">
            <v:imagedata r:id="rId7" o:title=""/>
          </v:shape>
          <w:control r:id="rId11" w:name="DefaultOcxName3" w:shapeid="_x0000_i1089"/>
        </w:object>
      </w:r>
      <w:r>
        <w:t>身心虐待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092" type="#_x0000_t75" style="width:19.85pt;height:15.7pt" o:ole="">
            <v:imagedata r:id="rId7" o:title=""/>
          </v:shape>
          <w:control r:id="rId12" w:name="DefaultOcxName4" w:shapeid="_x0000_i1092"/>
        </w:object>
      </w:r>
      <w:r>
        <w:t>利用其從事有害健康等危險性活動或欺騙之行為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>
        <w:rPr>
          <w:rFonts w:ascii="Tahoma" w:hAnsi="Tahoma" w:cs="Tahoma" w:hint="eastAsia"/>
          <w:color w:val="000000"/>
          <w:sz w:val="27"/>
          <w:szCs w:val="27"/>
          <w:shd w:val="clear" w:color="auto" w:fill="EEEEEE"/>
        </w:rPr>
        <w:br/>
      </w:r>
      <w:r w:rsidR="00DD5CEC">
        <w:object w:dxaOrig="225" w:dyaOrig="225">
          <v:shape id="_x0000_i1095" type="#_x0000_t75" style="width:19.85pt;height:15.7pt" o:ole="">
            <v:imagedata r:id="rId7" o:title=""/>
          </v:shape>
          <w:control r:id="rId13" w:name="DefaultOcxName5" w:shapeid="_x0000_i1095"/>
        </w:object>
      </w:r>
      <w:r>
        <w:t>利用身心障礙或畸形兒童供人參觀。</w:t>
      </w:r>
      <w:r w:rsidR="00DD5CEC">
        <w:object w:dxaOrig="225" w:dyaOrig="225">
          <v:shape id="_x0000_i1098" type="#_x0000_t75" style="width:19.85pt;height:15.7pt" o:ole="">
            <v:imagedata r:id="rId7" o:title=""/>
          </v:shape>
          <w:control r:id="rId14" w:name="DefaultOcxName6" w:shapeid="_x0000_i1098"/>
        </w:object>
      </w:r>
      <w:r>
        <w:t>利用其行乞。</w:t>
      </w:r>
      <w:r>
        <w:rPr>
          <w:rFonts w:hint="eastAsia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101" type="#_x0000_t75" style="width:19.85pt;height:15.7pt" o:ole="">
            <v:imagedata r:id="rId7" o:title=""/>
          </v:shape>
          <w:control r:id="rId15" w:name="DefaultOcxName7" w:shapeid="_x0000_i1101"/>
        </w:object>
      </w:r>
      <w:r>
        <w:t>剝奪或妨礙其接受國民教育之機會。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104" type="#_x0000_t75" style="width:19.85pt;height:15.7pt" o:ole="">
            <v:imagedata r:id="rId7" o:title=""/>
          </v:shape>
          <w:control r:id="rId16" w:name="DefaultOcxName8" w:shapeid="_x0000_i1104"/>
        </w:object>
      </w:r>
      <w:r>
        <w:t>強迫其婚嫁。</w:t>
      </w:r>
      <w:r>
        <w:rPr>
          <w:rFonts w:hint="eastAsia"/>
        </w:rPr>
        <w:br/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107" type="#_x0000_t75" style="width:19.85pt;height:15.7pt" o:ole="">
            <v:imagedata r:id="rId7" o:title=""/>
          </v:shape>
          <w:control r:id="rId17" w:name="DefaultOcxName9" w:shapeid="_x0000_i1107"/>
        </w:object>
      </w:r>
      <w:r>
        <w:t>拐騙、綁架、買賣、質押，或以其為擔保之行為。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10" type="#_x0000_t75" style="width:19.85pt;height:15.7pt" o:ole="">
            <v:imagedata r:id="rId7" o:title=""/>
          </v:shape>
          <w:control r:id="rId18" w:name="DefaultOcxName10" w:shapeid="_x0000_i1110"/>
        </w:object>
      </w:r>
      <w:r>
        <w:t>強迫、引誘、容留或媒介其為猥褻行為或性交。</w:t>
      </w: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 </w:t>
      </w:r>
      <w:r w:rsidR="00DD5CEC">
        <w:object w:dxaOrig="225" w:dyaOrig="225">
          <v:shape id="_x0000_i1113" type="#_x0000_t75" style="width:19.85pt;height:15.7pt" o:ole="">
            <v:imagedata r:id="rId7" o:title=""/>
          </v:shape>
          <w:control r:id="rId19" w:name="DefaultOcxName11" w:shapeid="_x0000_i1113"/>
        </w:object>
      </w:r>
      <w:r>
        <w:t>供應刀械或其他危險物品。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16" type="#_x0000_t75" style="width:19.85pt;height:15.7pt" o:ole="">
            <v:imagedata r:id="rId7" o:title=""/>
          </v:shape>
          <w:control r:id="rId20" w:name="DefaultOcxName12" w:shapeid="_x0000_i1116"/>
        </w:object>
      </w:r>
      <w:r>
        <w:t>利用其拍攝或錄製暴力、猥褻、色情或其他有害其身心發展之出版品、圖畫、錄影節目帶、影片、光碟、磁片、電子訊號、遊戲軟體、網際網路或其他物品。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19" type="#_x0000_t75" style="width:19.85pt;height:15.7pt" o:ole="">
            <v:imagedata r:id="rId7" o:title=""/>
          </v:shape>
          <w:control r:id="rId21" w:name="DefaultOcxName13" w:shapeid="_x0000_i1119"/>
        </w:object>
      </w:r>
      <w:r>
        <w:t>迫使或誘使處於對其生命、身體易發生立即危險或傷害之環境。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22" type="#_x0000_t75" style="width:19.85pt;height:15.7pt" o:ole="">
            <v:imagedata r:id="rId7" o:title=""/>
          </v:shape>
          <w:control r:id="rId22" w:name="DefaultOcxName14" w:shapeid="_x0000_i1122"/>
        </w:object>
      </w:r>
      <w:r>
        <w:t>帶領或誘使其進入有礙其身心健康之場所。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25" type="#_x0000_t75" style="width:19.85pt;height:15.7pt" o:ole="">
            <v:imagedata r:id="rId7" o:title=""/>
          </v:shape>
          <w:control r:id="rId23" w:name="DefaultOcxName15" w:shapeid="_x0000_i1125"/>
        </w:object>
      </w:r>
      <w:r>
        <w:t>強迫、引誘、容留或媒介兒童及少年為自殺行為</w:t>
      </w:r>
      <w:r>
        <w:t>(</w:t>
      </w:r>
      <w:r>
        <w:t>請併通報當地社區心理衛生中心或自殺防治中心</w:t>
      </w:r>
      <w:r>
        <w:t>)</w:t>
      </w:r>
      <w:r>
        <w:t>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28" type="#_x0000_t75" style="width:19.85pt;height:15.7pt" o:ole="">
            <v:imagedata r:id="rId7" o:title=""/>
          </v:shape>
          <w:control r:id="rId24" w:name="DefaultOcxName16" w:shapeid="_x0000_i1128"/>
        </w:object>
      </w:r>
      <w:r>
        <w:t>其他對兒童及少年或利用兒童及少年犯罪或為不正當之行為。</w:t>
      </w:r>
    </w:p>
    <w:p w:rsidR="00D93D85" w:rsidRDefault="00D93D85" w:rsidP="002D711C">
      <w:pPr>
        <w:snapToGrid w:val="0"/>
        <w:spacing w:beforeLines="0" w:line="440" w:lineRule="exact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三、監護人或其他實際照顧兒童及少年之人對兒少有下列行為者：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31" type="#_x0000_t75" style="width:19.85pt;height:15.7pt" o:ole="">
            <v:imagedata r:id="rId7" o:title=""/>
          </v:shape>
          <w:control r:id="rId25" w:name="DefaultOcxName17" w:shapeid="_x0000_i1131"/>
        </w:object>
      </w:r>
      <w:r>
        <w:t>對於</w:t>
      </w:r>
      <w:r>
        <w:t>6</w:t>
      </w:r>
      <w:r>
        <w:t>歲以下兒童或需要特別看護之兒童及少年，使其獨處或由不適當之人代為</w:t>
      </w:r>
      <w:r>
        <w:lastRenderedPageBreak/>
        <w:t>照顧。</w:t>
      </w:r>
    </w:p>
    <w:p w:rsidR="002D711C" w:rsidRDefault="00D93D85" w:rsidP="002D711C">
      <w:pPr>
        <w:snapToGrid w:val="0"/>
        <w:spacing w:beforeLines="0" w:line="440" w:lineRule="exact"/>
        <w:rPr>
          <w:rFonts w:hint="eastAsia"/>
        </w:rPr>
      </w:pPr>
      <w:r>
        <w:rPr>
          <w:rFonts w:ascii="Tahoma" w:hAnsi="Tahoma" w:cs="Tahoma"/>
          <w:color w:val="000000"/>
          <w:sz w:val="27"/>
          <w:szCs w:val="27"/>
          <w:shd w:val="clear" w:color="auto" w:fill="EEEEEE"/>
        </w:rPr>
        <w:t>註：緊急情況，建議立即以電話聯繫當地主管機關社工員評估處理，於主管機關處理前，提供兒少適當之保護及照顧。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34" type="#_x0000_t75" style="width:19.85pt;height:15.7pt" o:ole="">
            <v:imagedata r:id="rId7" o:title=""/>
          </v:shape>
          <w:control r:id="rId26" w:name="DefaultOcxName18" w:shapeid="_x0000_i1134"/>
        </w:object>
      </w:r>
      <w:r>
        <w:t>兒少有以上列舉之保護情事，致其生命身體或自由有立即之危險或有危險之虞者。（限有填列上開選項者）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37" type="#_x0000_t75" style="width:19.85pt;height:15.7pt" o:ole="">
            <v:imagedata r:id="rId7" o:title=""/>
          </v:shape>
          <w:control r:id="rId27" w:name="DefaultOcxName19" w:shapeid="_x0000_i1137"/>
        </w:object>
      </w:r>
      <w:r>
        <w:t>兒少未受適當之養育或照顧，致其生命身體或自由有立即之危險或有危險之虞者。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40" type="#_x0000_t75" style="width:19.85pt;height:15.7pt" o:ole="">
            <v:imagedata r:id="rId7" o:title=""/>
          </v:shape>
          <w:control r:id="rId28" w:name="DefaultOcxName20" w:shapeid="_x0000_i1140"/>
        </w:object>
      </w:r>
      <w:r>
        <w:t>兒少有立即接受診治之必要，但未就醫者，致其生命身體或自由有立即之危險或有危險之虞者。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43" type="#_x0000_t75" style="width:19.85pt;height:15.7pt" o:ole="">
            <v:imagedata r:id="rId7" o:title=""/>
          </v:shape>
          <w:control r:id="rId29" w:name="DefaultOcxName21" w:shapeid="_x0000_i1143"/>
        </w:object>
      </w:r>
      <w:r>
        <w:t>兒少遭受其他迫害，致其生命身體或自由有立即之危險或有危險之虞者。</w:t>
      </w:r>
    </w:p>
    <w:p w:rsidR="002D711C" w:rsidRDefault="002D711C" w:rsidP="002D711C">
      <w:pPr>
        <w:snapToGrid w:val="0"/>
        <w:spacing w:beforeLines="0" w:line="440" w:lineRule="exact"/>
        <w:rPr>
          <w:rFonts w:hint="eastAsia"/>
        </w:rPr>
      </w:pPr>
    </w:p>
    <w:p w:rsidR="002D711C" w:rsidRDefault="002D711C" w:rsidP="002D711C">
      <w:pPr>
        <w:snapToGrid w:val="0"/>
        <w:spacing w:beforeLines="0" w:line="440" w:lineRule="exact"/>
        <w:rPr>
          <w:rFonts w:hint="eastAsia"/>
        </w:rPr>
      </w:pPr>
    </w:p>
    <w:p w:rsidR="00D93D85" w:rsidRPr="002D711C" w:rsidRDefault="00D93D85" w:rsidP="002D711C">
      <w:pPr>
        <w:snapToGrid w:val="0"/>
        <w:spacing w:beforeLines="0" w:line="440" w:lineRule="exact"/>
        <w:rPr>
          <w:b/>
          <w:sz w:val="32"/>
          <w:szCs w:val="32"/>
        </w:rPr>
      </w:pPr>
      <w:r w:rsidRPr="002D711C">
        <w:rPr>
          <w:rFonts w:hint="eastAsia"/>
          <w:b/>
          <w:sz w:val="32"/>
          <w:szCs w:val="32"/>
        </w:rPr>
        <w:t>高風險家庭因素評估</w:t>
      </w:r>
    </w:p>
    <w:p w:rsidR="00D93D85" w:rsidRDefault="00D93D85" w:rsidP="00741C58">
      <w:pPr>
        <w:spacing w:before="180"/>
      </w:pPr>
      <w:r>
        <w:rPr>
          <w:rFonts w:hint="eastAsia"/>
        </w:rPr>
        <w:t xml:space="preserve">    </w:t>
      </w:r>
      <w:r>
        <w:rPr>
          <w:rFonts w:ascii="新細明體" w:eastAsia="新細明體" w:hAnsi="新細明體" w:hint="eastAsia"/>
        </w:rPr>
        <w:t>□</w:t>
      </w:r>
      <w:r>
        <w:t>家庭成員關係紊亂或家庭衝突：如家中成人時常劇烈爭吵、無婚姻關係帶年幼子女與人同居、或有離家出走之念頭者等，以致影響兒少日常生活食衣住行育醫等照顧者功能者。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46" type="#_x0000_t75" style="width:19.85pt;height:15.7pt" o:ole="">
            <v:imagedata r:id="rId7" o:title=""/>
          </v:shape>
          <w:control r:id="rId30" w:name="DefaultOcxName23" w:shapeid="_x0000_i1146"/>
        </w:object>
      </w:r>
      <w:r>
        <w:t>家中兒童少年父母或主要照顧者罹患精神疾病、酒癮、藥癮並未就醫或未持續就醫，以致影響兒少日常生活食衣住行育醫等照顧者功能者。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49" type="#_x0000_t75" style="width:19.85pt;height:15.7pt" o:ole="">
            <v:imagedata r:id="rId7" o:title=""/>
          </v:shape>
          <w:control r:id="rId31" w:name="DefaultOcxName110" w:shapeid="_x0000_i1149"/>
        </w:object>
      </w:r>
      <w:r>
        <w:t>家中兒童少年父母或主要照顧者有自殺風險個案，尚未強迫、引誘、容留或媒介兒童及少年為自殺行為，惟影響兒少日常生活食衣住行育醫等照顧者功能者。</w:t>
      </w:r>
      <w:r>
        <w:t>(</w:t>
      </w:r>
      <w:r>
        <w:t>請併通報當地社區心理衛生中心或自殺防治中心</w:t>
      </w:r>
      <w:r>
        <w:t>)</w:t>
      </w:r>
      <w:r>
        <w:t>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52" type="#_x0000_t75" style="width:19.85pt;height:15.7pt" o:ole="">
            <v:imagedata r:id="rId7" o:title=""/>
          </v:shape>
          <w:control r:id="rId32" w:name="DefaultOcxName22" w:shapeid="_x0000_i1152"/>
        </w:object>
      </w:r>
      <w:r>
        <w:t>因貧困、單親、隔代教養或其他不利因素，以致影響兒少日常生活食衣住行育醫等照顧者功能者。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55" type="#_x0000_t75" style="width:19.85pt;height:15.7pt" o:ole="">
            <v:imagedata r:id="rId7" o:title=""/>
          </v:shape>
          <w:control r:id="rId33" w:name="DefaultOcxName31" w:shapeid="_x0000_i1155"/>
        </w:object>
      </w:r>
      <w:r>
        <w:t>非自願性失業或重複失業者：負擔家計者遭裁員、資遣、強迫退休等，以致影響兒少日常生活食衣住行育醫等照顧者功能者。</w:t>
      </w:r>
      <w:r>
        <w:rPr>
          <w:rFonts w:ascii="Tahoma" w:hAnsi="Tahoma" w:cs="Tahoma"/>
          <w:color w:val="000000"/>
          <w:sz w:val="27"/>
          <w:szCs w:val="27"/>
        </w:rPr>
        <w:br/>
      </w:r>
      <w:r w:rsidR="00DD5CEC">
        <w:object w:dxaOrig="225" w:dyaOrig="225">
          <v:shape id="_x0000_i1158" type="#_x0000_t75" style="width:19.85pt;height:15.7pt" o:ole="">
            <v:imagedata r:id="rId7" o:title=""/>
          </v:shape>
          <w:control r:id="rId34" w:name="DefaultOcxName41" w:shapeid="_x0000_i1158"/>
        </w:object>
      </w:r>
      <w:r>
        <w:t>負擔家計者死亡、出走、重病、入獄服刑等，以致影響兒少日常生活食衣住行育醫等照顧者功能者。</w:t>
      </w:r>
    </w:p>
    <w:sectPr w:rsidR="00D93D85" w:rsidSect="002D711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 w:code="9"/>
      <w:pgMar w:top="720" w:right="720" w:bottom="720" w:left="720" w:header="510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1C" w:rsidRDefault="002D711C" w:rsidP="002D711C">
      <w:pPr>
        <w:spacing w:before="120"/>
      </w:pPr>
      <w:r>
        <w:separator/>
      </w:r>
    </w:p>
  </w:endnote>
  <w:endnote w:type="continuationSeparator" w:id="0">
    <w:p w:rsidR="002D711C" w:rsidRDefault="002D711C" w:rsidP="002D711C">
      <w:pPr>
        <w:spacing w:before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6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6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6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1C" w:rsidRDefault="002D711C" w:rsidP="002D711C">
      <w:pPr>
        <w:spacing w:before="120"/>
      </w:pPr>
      <w:r>
        <w:separator/>
      </w:r>
    </w:p>
  </w:footnote>
  <w:footnote w:type="continuationSeparator" w:id="0">
    <w:p w:rsidR="002D711C" w:rsidRDefault="002D711C" w:rsidP="002D711C">
      <w:pPr>
        <w:spacing w:before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4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4"/>
      <w:spacing w:before="120"/>
      <w:ind w:left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11C" w:rsidRDefault="002D711C" w:rsidP="002D711C">
    <w:pPr>
      <w:pStyle w:val="a4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0C0D"/>
    <w:multiLevelType w:val="hybridMultilevel"/>
    <w:tmpl w:val="4A286258"/>
    <w:lvl w:ilvl="0" w:tplc="BFE6797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D85"/>
    <w:rsid w:val="0012354C"/>
    <w:rsid w:val="002D711C"/>
    <w:rsid w:val="003D1A4F"/>
    <w:rsid w:val="00591001"/>
    <w:rsid w:val="00741C58"/>
    <w:rsid w:val="0075522B"/>
    <w:rsid w:val="00764014"/>
    <w:rsid w:val="00B3095E"/>
    <w:rsid w:val="00B9302D"/>
    <w:rsid w:val="00D93D85"/>
    <w:rsid w:val="00DD5CEC"/>
    <w:rsid w:val="00F2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5C"/>
    <w:pPr>
      <w:widowControl w:val="0"/>
    </w:pPr>
  </w:style>
  <w:style w:type="paragraph" w:styleId="1">
    <w:name w:val="heading 1"/>
    <w:basedOn w:val="a"/>
    <w:link w:val="10"/>
    <w:uiPriority w:val="9"/>
    <w:qFormat/>
    <w:rsid w:val="00F2585C"/>
    <w:pPr>
      <w:widowControl/>
      <w:spacing w:beforeLines="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2585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F2585C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2D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D711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D7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D711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2039</Characters>
  <Application>Microsoft Office Word</Application>
  <DocSecurity>4</DocSecurity>
  <Lines>16</Lines>
  <Paragraphs>4</Paragraphs>
  <ScaleCrop>false</ScaleCrop>
  <Company>HOME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YCJH</cp:lastModifiedBy>
  <cp:revision>2</cp:revision>
  <dcterms:created xsi:type="dcterms:W3CDTF">2017-07-27T02:19:00Z</dcterms:created>
  <dcterms:modified xsi:type="dcterms:W3CDTF">2017-07-27T02:19:00Z</dcterms:modified>
</cp:coreProperties>
</file>